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BA7" w:rsidP="00912BA7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912BA7" w:rsidP="00912B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912BA7" w:rsidP="00912BA7">
      <w:pPr>
        <w:jc w:val="both"/>
        <w:rPr>
          <w:sz w:val="28"/>
          <w:szCs w:val="28"/>
        </w:rPr>
      </w:pPr>
    </w:p>
    <w:p w:rsidR="00912BA7" w:rsidP="0091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 16 июня 2025 года </w:t>
      </w:r>
    </w:p>
    <w:p w:rsidR="00912BA7" w:rsidP="00912BA7">
      <w:pPr>
        <w:jc w:val="both"/>
        <w:rPr>
          <w:sz w:val="28"/>
          <w:szCs w:val="28"/>
        </w:rPr>
      </w:pP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Ханты-Мансийского судебного района Ханты-Мансийского автономного округа – Югры Новокшенова О.А.,</w:t>
      </w: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5-772-2802/2025, возбужденное по ч.12 ст.19.5 Кодекса Российской Федерации об административных правонарушениях в отношении юридического лица – Администрации города Ханты-Мансийска, ИНН </w:t>
      </w:r>
      <w:r w:rsidR="00004EFF">
        <w:rPr>
          <w:b/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912BA7" w:rsidP="00912BA7">
      <w:pPr>
        <w:ind w:firstLine="567"/>
        <w:jc w:val="both"/>
        <w:rPr>
          <w:sz w:val="28"/>
          <w:szCs w:val="28"/>
        </w:rPr>
      </w:pPr>
    </w:p>
    <w:p w:rsidR="00912BA7" w:rsidP="00912BA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2BA7" w:rsidP="00912BA7">
      <w:pPr>
        <w:jc w:val="center"/>
        <w:rPr>
          <w:sz w:val="28"/>
          <w:szCs w:val="28"/>
        </w:rPr>
      </w:pPr>
    </w:p>
    <w:p w:rsidR="00912BA7" w:rsidP="00912BA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02.05.2025 в 00 час. 01 мин. Администрация города Ханты-Мансийска совершило правонарушение по адресу: </w:t>
      </w:r>
      <w:r w:rsidR="00004EFF">
        <w:rPr>
          <w:b/>
          <w:sz w:val="28"/>
          <w:szCs w:val="28"/>
        </w:rPr>
        <w:t>***</w:t>
      </w:r>
      <w:r>
        <w:rPr>
          <w:sz w:val="28"/>
          <w:szCs w:val="28"/>
        </w:rPr>
        <w:t>, выразившееся в невыполнении в установленный до 01.05.2025 срок пункт № 1-4 предписания от 17.07.2024 №</w:t>
      </w:r>
      <w:r w:rsidR="00004EFF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выданного Управлением надзорной деятельности и профилактической работы по </w:t>
      </w:r>
      <w:r>
        <w:rPr>
          <w:sz w:val="28"/>
          <w:szCs w:val="28"/>
        </w:rPr>
        <w:t>г.Ханты-Мансийску</w:t>
      </w:r>
      <w:r>
        <w:rPr>
          <w:sz w:val="28"/>
          <w:szCs w:val="28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912BA7" w:rsidP="00912BA7">
      <w:pPr>
        <w:pStyle w:val="BodyText"/>
        <w:ind w:firstLine="5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Представитель юридического лица в судебном заседании вину в совершении правонарушения не признал. </w:t>
      </w:r>
      <w:r w:rsidR="000A27EF">
        <w:rPr>
          <w:color w:val="FF0000"/>
          <w:sz w:val="28"/>
          <w:szCs w:val="28"/>
        </w:rPr>
        <w:t>Указал, что недостаточно времени для исполнения, так как требуется 30 мил. рублей для устранения нарушений.</w:t>
      </w: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912BA7" w:rsidP="00912BA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Статьей 19.5 ч.12 КоАП РФ предусмотрена ответственность </w:t>
      </w:r>
      <w:r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912BA7" w:rsidP="00912B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912BA7" w:rsidP="00912B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>
          <w:rPr>
            <w:rStyle w:val="Hyperlink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912BA7" w:rsidP="00912BA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>
          <w:rPr>
            <w:rStyle w:val="Hyperlink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912BA7" w:rsidP="00912B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912BA7" w:rsidP="00912BA7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судебного заседания установлено, что 17.07.2024 ГУ МЧС России по ХМАО-Югре в адрес Администрации </w:t>
      </w:r>
      <w:r w:rsidR="0000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вынесено предписание </w:t>
      </w:r>
      <w:r>
        <w:rPr>
          <w:sz w:val="28"/>
          <w:szCs w:val="28"/>
        </w:rPr>
        <w:t>№</w:t>
      </w:r>
      <w:r w:rsidR="0000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</w:t>
      </w:r>
      <w:r>
        <w:rPr>
          <w:rFonts w:ascii="Times New Roman" w:hAnsi="Times New Roman"/>
          <w:color w:val="000000" w:themeColor="text1"/>
          <w:sz w:val="28"/>
          <w:szCs w:val="28"/>
        </w:rPr>
        <w:t>об устранении в срок до 01.05.2025 нарушений ФЗ от 21.12.1994 №69-ФЗ «О пожарной безопасности», Положения о противопожарной службе Ханты-Мансийского автономного округа – Югры, утвержденного постановлением Правительства Ханты-Мансийского автономного округа – Югры от 02.04.2011 №94-п.</w:t>
      </w:r>
    </w:p>
    <w:p w:rsidR="00912BA7" w:rsidP="00912BA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912BA7" w:rsidP="00912BA7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07.05.2025 управлением проведена внеплановая проверка по исполнению предписания </w:t>
      </w:r>
      <w:r>
        <w:rPr>
          <w:sz w:val="28"/>
          <w:szCs w:val="28"/>
        </w:rPr>
        <w:t>№</w:t>
      </w:r>
      <w:r w:rsidR="0000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</w:t>
      </w:r>
    </w:p>
    <w:p w:rsidR="00912BA7" w:rsidP="00912BA7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результате проведенной проверки установлено, что требования предписания не выполнены, что зафиксировано в акте выездной проверки от 07.05.2025.</w:t>
      </w: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</w:t>
      </w:r>
      <w:r>
        <w:rPr>
          <w:sz w:val="28"/>
          <w:szCs w:val="28"/>
        </w:rPr>
        <w:t xml:space="preserve">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 w:rsidRPr="00912BA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912BA7" w:rsidP="00912B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912BA7" w:rsidP="00912B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>
        <w:rPr>
          <w:sz w:val="28"/>
          <w:szCs w:val="28"/>
        </w:rPr>
        <w:t>г.Ханты-Мансийску</w:t>
      </w:r>
      <w:r>
        <w:rPr>
          <w:sz w:val="28"/>
          <w:szCs w:val="28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912BA7" w:rsidP="00912B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при рассмотрении дела не установлено нарушений при вынесении предписания. </w:t>
      </w:r>
    </w:p>
    <w:p w:rsidR="00912BA7" w:rsidP="00912BA7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Виновность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г.Ханты-Мансийска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совершении инкриминируемого правонарушения подтверждается: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протоколом об административном правонарушении; копией распоряжения; копией протокола опроса представителя; письмами; </w:t>
      </w:r>
      <w:r w:rsidR="000A27E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объяснениями;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копией акта; копией предписания; выпиской из ЕГРЮЛ.</w:t>
      </w:r>
    </w:p>
    <w:p w:rsidR="00912BA7" w:rsidP="00912BA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912BA7" w:rsidP="00912BA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исполнения предписания</w:t>
      </w:r>
      <w:r>
        <w:rPr>
          <w:sz w:val="28"/>
          <w:szCs w:val="28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>
        <w:rPr>
          <w:rFonts w:eastAsia="Calibri"/>
          <w:sz w:val="28"/>
          <w:szCs w:val="28"/>
        </w:rPr>
        <w:t>, суду не представлено</w:t>
      </w:r>
      <w:r>
        <w:rPr>
          <w:sz w:val="28"/>
          <w:szCs w:val="28"/>
        </w:rPr>
        <w:t>.</w:t>
      </w:r>
    </w:p>
    <w:p w:rsidR="00912BA7" w:rsidP="00912BA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установлено, что Администрация </w:t>
      </w:r>
      <w:r>
        <w:rPr>
          <w:color w:val="000000" w:themeColor="text1"/>
          <w:sz w:val="28"/>
          <w:szCs w:val="28"/>
        </w:rPr>
        <w:t>г.Ханты-Мансийска</w:t>
      </w:r>
      <w:r>
        <w:rPr>
          <w:color w:val="000000" w:themeColor="text1"/>
          <w:sz w:val="28"/>
          <w:szCs w:val="28"/>
        </w:rPr>
        <w:t xml:space="preserve"> имела возможность для соблюдения требований законодательства, однако не приняло все зависящие от него меры по его соблюдению. </w:t>
      </w:r>
    </w:p>
    <w:p w:rsidR="00912BA7" w:rsidP="00912BA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Виновность Администрации </w:t>
      </w:r>
      <w:r>
        <w:rPr>
          <w:color w:val="000000" w:themeColor="text1"/>
          <w:sz w:val="28"/>
          <w:szCs w:val="28"/>
        </w:rPr>
        <w:t>г.Ханты-Мансийска</w:t>
      </w:r>
      <w:r>
        <w:rPr>
          <w:color w:val="000000" w:themeColor="text1"/>
          <w:sz w:val="28"/>
          <w:szCs w:val="28"/>
        </w:rPr>
        <w:t xml:space="preserve"> в совершенном правонарушении, выразившимся в невыполнении в установленный срок законного предписания органа, осуществляющего федеральный государственный пожарный надзор, нашла свое подтверждение при рассмотрении дела. </w:t>
      </w:r>
    </w:p>
    <w:p w:rsidR="000A27EF" w:rsidP="00912BA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Доводы представителя не могут быть состязательными и не освобождают от административной ответственности.</w:t>
      </w:r>
    </w:p>
    <w:p w:rsidR="00912BA7" w:rsidP="00912BA7">
      <w:pPr>
        <w:pStyle w:val="BodyTextInden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912BA7" w:rsidP="00912BA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ч.12 ст.19.5 КоАП РФ.</w:t>
      </w:r>
    </w:p>
    <w:p w:rsidR="00912BA7" w:rsidP="00912BA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 обстоятельств судом не установлено.</w:t>
      </w:r>
    </w:p>
    <w:p w:rsidR="00912BA7" w:rsidP="00912BA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912BA7" w:rsidP="00912BA7">
      <w:pPr>
        <w:ind w:firstLine="567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>
        <w:rPr>
          <w:rStyle w:val="Emphasis"/>
          <w:rFonts w:ascii="Roboto" w:hAnsi="Roboto"/>
          <w:i w:val="0"/>
          <w:color w:val="000000"/>
          <w:sz w:val="28"/>
          <w:szCs w:val="28"/>
        </w:rPr>
        <w:t>малозначительности</w:t>
      </w:r>
      <w:r>
        <w:rPr>
          <w:rFonts w:ascii="Roboto" w:hAnsi="Roboto"/>
          <w:color w:val="000000"/>
          <w:sz w:val="28"/>
          <w:szCs w:val="28"/>
        </w:rPr>
        <w:t xml:space="preserve"> совершенного </w:t>
      </w:r>
      <w:r>
        <w:rPr>
          <w:rStyle w:val="Emphasis"/>
          <w:rFonts w:ascii="Roboto" w:hAnsi="Roboto"/>
          <w:i w:val="0"/>
          <w:color w:val="000000"/>
          <w:sz w:val="28"/>
          <w:szCs w:val="28"/>
        </w:rPr>
        <w:t>правонарушения</w:t>
      </w:r>
      <w:r>
        <w:rPr>
          <w:rFonts w:ascii="Roboto" w:hAnsi="Roboto"/>
          <w:color w:val="000000"/>
          <w:sz w:val="28"/>
          <w:szCs w:val="28"/>
        </w:rPr>
        <w:t xml:space="preserve">. Предусмотренное </w:t>
      </w:r>
      <w:hyperlink r:id="rId7" w:anchor="/document/12125267/entry/19512" w:history="1">
        <w:r>
          <w:rPr>
            <w:rStyle w:val="Hyperlink"/>
            <w:rFonts w:ascii="Roboto" w:hAnsi="Roboto"/>
            <w:iCs/>
            <w:color w:val="auto"/>
            <w:sz w:val="28"/>
            <w:szCs w:val="28"/>
          </w:rPr>
          <w:t>ч</w:t>
        </w:r>
        <w:r>
          <w:rPr>
            <w:rStyle w:val="Hyperlink"/>
            <w:rFonts w:ascii="Roboto" w:hAnsi="Roboto"/>
            <w:i/>
            <w:sz w:val="28"/>
            <w:szCs w:val="28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8"/>
            <w:szCs w:val="28"/>
          </w:rPr>
          <w:t>12</w:t>
        </w:r>
        <w:r>
          <w:rPr>
            <w:rStyle w:val="Hyperlink"/>
            <w:rFonts w:ascii="Roboto" w:hAnsi="Roboto"/>
            <w:i/>
            <w:sz w:val="28"/>
            <w:szCs w:val="28"/>
          </w:rPr>
          <w:t xml:space="preserve"> </w:t>
        </w:r>
        <w:r>
          <w:rPr>
            <w:rStyle w:val="Hyperlink"/>
            <w:rFonts w:ascii="Roboto" w:hAnsi="Roboto"/>
            <w:iCs/>
            <w:color w:val="auto"/>
            <w:sz w:val="28"/>
            <w:szCs w:val="28"/>
          </w:rPr>
          <w:t>ст</w:t>
        </w:r>
        <w:r>
          <w:rPr>
            <w:rStyle w:val="Hyperlink"/>
            <w:rFonts w:ascii="Roboto" w:hAnsi="Roboto"/>
            <w:i/>
            <w:sz w:val="28"/>
            <w:szCs w:val="28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8"/>
            <w:szCs w:val="28"/>
          </w:rPr>
          <w:t>19</w:t>
        </w:r>
        <w:r>
          <w:rPr>
            <w:rStyle w:val="Hyperlink"/>
            <w:rFonts w:ascii="Roboto" w:hAnsi="Roboto"/>
            <w:i/>
            <w:sz w:val="28"/>
            <w:szCs w:val="28"/>
          </w:rPr>
          <w:t>.</w:t>
        </w:r>
        <w:r>
          <w:rPr>
            <w:rStyle w:val="Hyperlink"/>
            <w:rFonts w:ascii="Roboto" w:hAnsi="Roboto"/>
            <w:iCs/>
            <w:color w:val="auto"/>
            <w:sz w:val="28"/>
            <w:szCs w:val="28"/>
          </w:rPr>
          <w:t>5</w:t>
        </w:r>
      </w:hyperlink>
      <w:r>
        <w:rPr>
          <w:rFonts w:ascii="Roboto" w:hAnsi="Roboto"/>
          <w:i/>
          <w:sz w:val="28"/>
          <w:szCs w:val="28"/>
        </w:rPr>
        <w:t xml:space="preserve"> </w:t>
      </w:r>
      <w:r>
        <w:rPr>
          <w:rStyle w:val="Emphasis"/>
          <w:rFonts w:ascii="Roboto" w:hAnsi="Roboto"/>
          <w:i w:val="0"/>
          <w:color w:val="000000"/>
          <w:sz w:val="28"/>
          <w:szCs w:val="28"/>
        </w:rPr>
        <w:t>КоАП</w:t>
      </w:r>
      <w:r>
        <w:rPr>
          <w:rFonts w:ascii="Roboto" w:hAnsi="Roboto"/>
          <w:color w:val="000000"/>
          <w:sz w:val="28"/>
          <w:szCs w:val="28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912BA7" w:rsidP="00912BA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912BA7" w:rsidP="00912BA7">
      <w:pPr>
        <w:ind w:firstLine="567"/>
        <w:jc w:val="center"/>
        <w:rPr>
          <w:snapToGrid w:val="0"/>
          <w:sz w:val="28"/>
          <w:szCs w:val="28"/>
        </w:rPr>
      </w:pPr>
    </w:p>
    <w:p w:rsidR="00912BA7" w:rsidP="00912BA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ПОСТАНОВИЛ:</w:t>
      </w:r>
    </w:p>
    <w:p w:rsidR="00912BA7" w:rsidP="00912BA7">
      <w:pPr>
        <w:pStyle w:val="BodyText"/>
        <w:rPr>
          <w:sz w:val="28"/>
          <w:szCs w:val="28"/>
        </w:rPr>
      </w:pPr>
    </w:p>
    <w:p w:rsidR="00912BA7" w:rsidP="00912BA7">
      <w:pPr>
        <w:pStyle w:val="BodyText2"/>
        <w:ind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Признать юридическое лицо – Администрацию города Ханты-Мансийска виновным в совершении административного правонарушения, предусмотренного ч.12 ст.19.5 Кодекса РФ об административных правонарушениях </w:t>
      </w:r>
      <w:r>
        <w:rPr>
          <w:color w:val="auto"/>
          <w:sz w:val="28"/>
          <w:szCs w:val="28"/>
        </w:rPr>
        <w:t xml:space="preserve">и назначить ему наказание в виде административного штрафа в размере 70000 (семьдесят тысяч) рублей. </w:t>
      </w:r>
    </w:p>
    <w:p w:rsidR="00912BA7" w:rsidP="00912BA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12BA7" w:rsidP="00912B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12BA7" w:rsidP="00912BA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Style w:val="Hyperlink"/>
            <w:snapToGrid w:val="0"/>
            <w:sz w:val="28"/>
            <w:szCs w:val="28"/>
          </w:rPr>
          <w:t>части 1</w:t>
        </w:r>
      </w:hyperlink>
      <w:r>
        <w:rPr>
          <w:snapToGrid w:val="0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>
          <w:rPr>
            <w:rStyle w:val="Hyperlink"/>
            <w:snapToGrid w:val="0"/>
            <w:sz w:val="28"/>
            <w:szCs w:val="28"/>
          </w:rPr>
          <w:t>федеральным законодательством</w:t>
        </w:r>
      </w:hyperlink>
      <w:r>
        <w:rPr>
          <w:snapToGrid w:val="0"/>
          <w:sz w:val="28"/>
          <w:szCs w:val="28"/>
        </w:rPr>
        <w:t xml:space="preserve">. 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(ЕКС): 40102810245370000007</w:t>
      </w:r>
    </w:p>
    <w:p w:rsidR="00912BA7" w:rsidP="00912BA7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Банк: РКЦ г. Ханты-Мансийска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БИК 007162163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8601073664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860101001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ОКТМО – 71871000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л/</w:t>
      </w:r>
      <w:r>
        <w:rPr>
          <w:bCs/>
          <w:sz w:val="28"/>
          <w:szCs w:val="28"/>
        </w:rPr>
        <w:t>сч</w:t>
      </w:r>
      <w:r>
        <w:rPr>
          <w:bCs/>
          <w:sz w:val="28"/>
          <w:szCs w:val="28"/>
        </w:rPr>
        <w:t>. 04872D08080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КБК – 720 1 16 01203 01 9000 140</w:t>
      </w:r>
    </w:p>
    <w:p w:rsidR="00912BA7" w:rsidP="00912B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УИН </w:t>
      </w:r>
      <w:r w:rsidRPr="00912BA7">
        <w:rPr>
          <w:bCs/>
          <w:sz w:val="28"/>
          <w:szCs w:val="28"/>
        </w:rPr>
        <w:t>0412365400715007722519123</w:t>
      </w:r>
    </w:p>
    <w:p w:rsidR="00912BA7" w:rsidP="00912BA7">
      <w:pPr>
        <w:pStyle w:val="BodyText2"/>
        <w:rPr>
          <w:color w:val="auto"/>
          <w:sz w:val="28"/>
          <w:szCs w:val="28"/>
        </w:rPr>
      </w:pPr>
    </w:p>
    <w:p w:rsidR="00912BA7" w:rsidP="00912BA7">
      <w:pPr>
        <w:jc w:val="both"/>
        <w:rPr>
          <w:sz w:val="28"/>
          <w:szCs w:val="28"/>
        </w:rPr>
      </w:pPr>
    </w:p>
    <w:p w:rsidR="00912BA7" w:rsidP="0091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О.А. Новокшенова     </w:t>
      </w:r>
    </w:p>
    <w:p w:rsidR="00912BA7" w:rsidP="00912BA7">
      <w:pPr>
        <w:jc w:val="both"/>
        <w:rPr>
          <w:sz w:val="28"/>
          <w:szCs w:val="28"/>
        </w:rPr>
      </w:pPr>
    </w:p>
    <w:p w:rsidR="00912BA7" w:rsidP="00912BA7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912BA7" w:rsidP="0091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О.А. Новокшенова    </w:t>
      </w:r>
    </w:p>
    <w:p w:rsidR="00912BA7" w:rsidP="00912BA7">
      <w:pPr>
        <w:rPr>
          <w:sz w:val="28"/>
          <w:szCs w:val="28"/>
        </w:rPr>
      </w:pPr>
    </w:p>
    <w:p w:rsidR="00912BA7" w:rsidP="00912BA7">
      <w:pPr>
        <w:rPr>
          <w:sz w:val="28"/>
          <w:szCs w:val="28"/>
        </w:rPr>
      </w:pPr>
    </w:p>
    <w:p w:rsidR="00E6732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74"/>
    <w:rsid w:val="00004EFF"/>
    <w:rsid w:val="000A27EF"/>
    <w:rsid w:val="00912BA7"/>
    <w:rsid w:val="00D90174"/>
    <w:rsid w:val="00E67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1FF64C-4461-4D81-BDE3-0A5B257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12B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12BA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912BA7"/>
    <w:rPr>
      <w:color w:val="0000FF"/>
      <w:u w:val="single"/>
    </w:rPr>
  </w:style>
  <w:style w:type="paragraph" w:styleId="Title">
    <w:name w:val="Title"/>
    <w:basedOn w:val="Normal"/>
    <w:link w:val="a"/>
    <w:qFormat/>
    <w:rsid w:val="00912BA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12BA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12BA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12B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12BA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12B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12BA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12BA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912BA7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912BA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912B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12B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12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2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912BA7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0A2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27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